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3615D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Victorville</w:t>
      </w:r>
    </w:p>
    <w:p w:rsidR="003615DA" w:rsidRDefault="003615DA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3615DA" w:rsidRPr="003615DA" w:rsidRDefault="003615DA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532B504" wp14:editId="19AC9EE4">
            <wp:extent cx="9182100" cy="62579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615DA" w:rsidRPr="003615DA" w:rsidSect="003615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DA"/>
    <w:rsid w:val="00206930"/>
    <w:rsid w:val="003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5643-9D66-4B0F-933E-B88E3EB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1,949 Homes</a:t>
            </a:r>
            <a:r>
              <a:rPr lang="en-US" baseline="0"/>
              <a:t> Sold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40</c:v>
                </c:pt>
                <c:pt idx="1">
                  <c:v>79</c:v>
                </c:pt>
                <c:pt idx="2">
                  <c:v>155</c:v>
                </c:pt>
                <c:pt idx="3">
                  <c:v>294</c:v>
                </c:pt>
                <c:pt idx="4">
                  <c:v>383</c:v>
                </c:pt>
                <c:pt idx="5">
                  <c:v>473</c:v>
                </c:pt>
                <c:pt idx="6">
                  <c:v>259</c:v>
                </c:pt>
                <c:pt idx="7">
                  <c:v>162</c:v>
                </c:pt>
                <c:pt idx="8">
                  <c:v>71</c:v>
                </c:pt>
                <c:pt idx="9">
                  <c:v>23</c:v>
                </c:pt>
                <c:pt idx="10">
                  <c:v>6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0082432"/>
        <c:axId val="420080472"/>
        <c:axId val="0"/>
      </c:bar3DChart>
      <c:catAx>
        <c:axId val="420082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0080472"/>
        <c:crosses val="autoZero"/>
        <c:auto val="1"/>
        <c:lblAlgn val="ctr"/>
        <c:lblOffset val="100"/>
        <c:noMultiLvlLbl val="0"/>
      </c:catAx>
      <c:valAx>
        <c:axId val="4200804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008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0.15871</cdr:x>
      <cdr:y>0.12938</cdr:y>
    </cdr:from>
    <cdr:to>
      <cdr:x>0.45436</cdr:x>
      <cdr:y>0.207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809625"/>
          <a:ext cx="271462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3,994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2005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0.15871</cdr:x>
      <cdr:y>0.1933</cdr:y>
    </cdr:from>
    <cdr:to>
      <cdr:x>0.46784</cdr:x>
      <cdr:y>0.27854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209675"/>
          <a:ext cx="2838450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3,635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2005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0.15975</cdr:x>
      <cdr:y>0.25571</cdr:y>
    </cdr:from>
    <cdr:to>
      <cdr:x>0.56432</cdr:x>
      <cdr:y>0.33181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600200"/>
          <a:ext cx="37147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3,244</a:t>
          </a:r>
          <a:r>
            <a:rPr lang="en-US" sz="1100" baseline="0"/>
            <a:t> - Year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0.16079</cdr:x>
      <cdr:y>0.31659</cdr:y>
    </cdr:from>
    <cdr:to>
      <cdr:x>0.50934</cdr:x>
      <cdr:y>0.39269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81200"/>
          <a:ext cx="32004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3,184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0.15768</cdr:x>
      <cdr:y>0.38052</cdr:y>
    </cdr:from>
    <cdr:to>
      <cdr:x>0.51867</cdr:x>
      <cdr:y>0.46119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47800" y="2381250"/>
          <a:ext cx="33147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3,382</a:t>
          </a:r>
          <a:r>
            <a:rPr lang="en-US" sz="1100"/>
            <a:t> 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0.15975</cdr:x>
      <cdr:y>0.44292</cdr:y>
    </cdr:from>
    <cdr:to>
      <cdr:x>0.50104</cdr:x>
      <cdr:y>0.52207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771775"/>
          <a:ext cx="31337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3,012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0.15975</cdr:x>
      <cdr:y>0.50381</cdr:y>
    </cdr:from>
    <cdr:to>
      <cdr:x>0.62863</cdr:x>
      <cdr:y>0.58295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152775"/>
          <a:ext cx="43053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2,714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0.16079</cdr:x>
      <cdr:y>0.56621</cdr:y>
    </cdr:from>
    <cdr:to>
      <cdr:x>0.60581</cdr:x>
      <cdr:y>0.64536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43300"/>
          <a:ext cx="40862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2,278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0.15975</cdr:x>
      <cdr:y>0.63014</cdr:y>
    </cdr:from>
    <cdr:to>
      <cdr:x>0.55187</cdr:x>
      <cdr:y>0.70928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943350"/>
          <a:ext cx="360045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1,925</a:t>
          </a:r>
          <a:r>
            <a:rPr lang="en-US" sz="1100" baseline="0"/>
            <a:t> - Average Year Built </a:t>
          </a:r>
          <a:r>
            <a:rPr lang="en-US" sz="1100" b="1" baseline="0"/>
            <a:t>1999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0.15975</cdr:x>
      <cdr:y>0.69102</cdr:y>
    </cdr:from>
    <cdr:to>
      <cdr:x>0.51763</cdr:x>
      <cdr:y>0.77169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324350"/>
          <a:ext cx="328612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1,639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0.15871</cdr:x>
      <cdr:y>0.75342</cdr:y>
    </cdr:from>
    <cdr:to>
      <cdr:x>0.51971</cdr:x>
      <cdr:y>0.82953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4714875"/>
          <a:ext cx="33147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1,361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1987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0.15975</cdr:x>
      <cdr:y>0.81583</cdr:y>
    </cdr:from>
    <cdr:to>
      <cdr:x>0.50415</cdr:x>
      <cdr:y>0.89041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66850" y="5105400"/>
          <a:ext cx="3162300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1,324</a:t>
          </a:r>
          <a:r>
            <a:rPr lang="en-US" sz="1100"/>
            <a:t> - Average Year Built </a:t>
          </a:r>
          <a:r>
            <a:rPr lang="en-US" sz="1100" b="1"/>
            <a:t>1978</a:t>
          </a:r>
        </a:p>
      </cdr:txBody>
    </cdr:sp>
  </cdr:relSizeAnchor>
  <cdr:relSizeAnchor xmlns:cdr="http://schemas.openxmlformats.org/drawingml/2006/chartDrawing">
    <cdr:from>
      <cdr:x>0.16079</cdr:x>
      <cdr:y>0.87823</cdr:y>
    </cdr:from>
    <cdr:to>
      <cdr:x>0.48963</cdr:x>
      <cdr:y>0.95586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495925"/>
          <a:ext cx="301942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1,300</a:t>
          </a:r>
          <a:r>
            <a:rPr lang="en-US" sz="1100" baseline="0"/>
            <a:t> - Average Year Built </a:t>
          </a:r>
          <a:r>
            <a:rPr lang="en-US" sz="1100" b="1" baseline="0"/>
            <a:t>1975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0.15768</cdr:x>
      <cdr:y>0.93912</cdr:y>
    </cdr:from>
    <cdr:to>
      <cdr:x>0.49378</cdr:x>
      <cdr:y>0.98326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47800" y="5876925"/>
          <a:ext cx="30861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1,375</a:t>
          </a:r>
          <a:r>
            <a:rPr lang="en-US" sz="1100"/>
            <a:t> - Average Year Built </a:t>
          </a:r>
          <a:r>
            <a:rPr lang="en-US" sz="1100" b="1"/>
            <a:t>1971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2018-01-24T23:01:00Z</dcterms:created>
  <dcterms:modified xsi:type="dcterms:W3CDTF">2018-01-24T23:12:00Z</dcterms:modified>
</cp:coreProperties>
</file>